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64D4" w14:textId="77777777" w:rsidR="00BD0B01" w:rsidRPr="007704F9" w:rsidRDefault="00BD0B01" w:rsidP="007704F9">
      <w:pPr>
        <w:pStyle w:val="Heading1"/>
        <w:rPr>
          <w:rFonts w:ascii="Garamond" w:eastAsia="Times New Roman" w:hAnsi="Garamond"/>
          <w:lang w:val="en-US" w:eastAsia="de-DE"/>
        </w:rPr>
      </w:pPr>
      <w:r w:rsidRPr="007704F9">
        <w:rPr>
          <w:rFonts w:ascii="Garamond" w:eastAsia="Times New Roman" w:hAnsi="Garamond"/>
          <w:lang w:val="en-US" w:eastAsia="de-DE"/>
        </w:rPr>
        <w:t>The FLOW Conference</w:t>
      </w:r>
    </w:p>
    <w:p w14:paraId="614DCD43" w14:textId="77777777" w:rsidR="0054606F" w:rsidRDefault="00BD0B01" w:rsidP="00BD0B01">
      <w:pPr>
        <w:rPr>
          <w:rFonts w:ascii="Garamond" w:eastAsia="Times New Roman" w:hAnsi="Garamond" w:cs="Times New Roman"/>
          <w:b/>
          <w:bCs/>
          <w:kern w:val="0"/>
          <w:sz w:val="22"/>
          <w:szCs w:val="22"/>
          <w:lang w:val="en-US" w:eastAsia="de-DE"/>
          <w14:ligatures w14:val="none"/>
        </w:rPr>
      </w:pPr>
      <w:r w:rsidRPr="00BD0B01">
        <w:rPr>
          <w:rFonts w:ascii="Garamond" w:eastAsia="Times New Roman" w:hAnsi="Garamond" w:cs="Times New Roman"/>
          <w:b/>
          <w:bCs/>
          <w:kern w:val="0"/>
          <w:sz w:val="22"/>
          <w:szCs w:val="22"/>
          <w:lang w:val="en-US" w:eastAsia="de-DE"/>
          <w14:ligatures w14:val="none"/>
        </w:rPr>
        <w:t>Bern, 11–12 June 2026</w:t>
      </w:r>
    </w:p>
    <w:p w14:paraId="2EB08E2F" w14:textId="647A2339" w:rsidR="00BD0B01" w:rsidRDefault="0054606F" w:rsidP="00BD0B01">
      <w:pPr>
        <w:rPr>
          <w:rFonts w:ascii="Garamond" w:eastAsia="Times New Roman" w:hAnsi="Garamond" w:cs="Times New Roman"/>
          <w:b/>
          <w:bCs/>
          <w:kern w:val="0"/>
          <w:sz w:val="22"/>
          <w:szCs w:val="22"/>
          <w:lang w:val="en-US" w:eastAsia="de-DE"/>
          <w14:ligatures w14:val="none"/>
        </w:rPr>
      </w:pPr>
      <w:r>
        <w:rPr>
          <w:rFonts w:ascii="Garamond" w:eastAsia="Times New Roman" w:hAnsi="Garamond" w:cs="Times New Roman"/>
          <w:b/>
          <w:bCs/>
          <w:kern w:val="0"/>
          <w:sz w:val="22"/>
          <w:szCs w:val="22"/>
          <w:lang w:val="en-US" w:eastAsia="de-DE"/>
          <w14:ligatures w14:val="none"/>
        </w:rPr>
        <w:t xml:space="preserve">University of Bern, </w:t>
      </w:r>
      <w:proofErr w:type="spellStart"/>
      <w:r>
        <w:rPr>
          <w:rFonts w:ascii="Garamond" w:eastAsia="Times New Roman" w:hAnsi="Garamond" w:cs="Times New Roman"/>
          <w:b/>
          <w:bCs/>
          <w:kern w:val="0"/>
          <w:sz w:val="22"/>
          <w:szCs w:val="22"/>
          <w:lang w:val="en-US" w:eastAsia="de-DE"/>
          <w14:ligatures w14:val="none"/>
        </w:rPr>
        <w:t>Mittelstrasse</w:t>
      </w:r>
      <w:proofErr w:type="spellEnd"/>
      <w:r>
        <w:rPr>
          <w:rFonts w:ascii="Garamond" w:eastAsia="Times New Roman" w:hAnsi="Garamond" w:cs="Times New Roman"/>
          <w:b/>
          <w:bCs/>
          <w:kern w:val="0"/>
          <w:sz w:val="22"/>
          <w:szCs w:val="22"/>
          <w:lang w:val="en-US" w:eastAsia="de-DE"/>
          <w14:ligatures w14:val="none"/>
        </w:rPr>
        <w:t xml:space="preserve"> 43, 3012 Bern</w:t>
      </w:r>
      <w:r w:rsidR="00BD0B01" w:rsidRPr="00BD0B01">
        <w:rPr>
          <w:rFonts w:ascii="Garamond" w:eastAsia="Times New Roman" w:hAnsi="Garamond" w:cs="Times New Roman"/>
          <w:kern w:val="0"/>
          <w:sz w:val="22"/>
          <w:szCs w:val="22"/>
          <w:lang w:val="en-US" w:eastAsia="de-DE"/>
          <w14:ligatures w14:val="none"/>
        </w:rPr>
        <w:br/>
      </w:r>
    </w:p>
    <w:p w14:paraId="557B59ED" w14:textId="77777777" w:rsidR="00BD0B01" w:rsidRDefault="00BD0B01" w:rsidP="00BD0B01">
      <w:pPr>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b/>
          <w:bCs/>
          <w:kern w:val="0"/>
          <w:sz w:val="22"/>
          <w:szCs w:val="22"/>
          <w:lang w:val="en-US" w:eastAsia="de-DE"/>
          <w14:ligatures w14:val="none"/>
        </w:rPr>
        <w:t xml:space="preserve">The Flow project – </w:t>
      </w:r>
      <w:r w:rsidRPr="00BD0B01">
        <w:rPr>
          <w:rFonts w:ascii="Garamond" w:eastAsia="Times New Roman" w:hAnsi="Garamond" w:cs="Times New Roman"/>
          <w:b/>
          <w:bCs/>
          <w:i/>
          <w:iCs/>
          <w:kern w:val="0"/>
          <w:sz w:val="22"/>
          <w:szCs w:val="22"/>
          <w:lang w:val="en-US" w:eastAsia="de-DE"/>
          <w14:ligatures w14:val="none"/>
        </w:rPr>
        <w:t>From Deep Learning to Digital Analysis and their Role in the Humanities</w:t>
      </w:r>
      <w:r w:rsidRPr="00BD0B01">
        <w:rPr>
          <w:rFonts w:ascii="Garamond" w:eastAsia="Times New Roman" w:hAnsi="Garamond" w:cs="Times New Roman"/>
          <w:kern w:val="0"/>
          <w:sz w:val="22"/>
          <w:szCs w:val="22"/>
          <w:lang w:val="en-US" w:eastAsia="de-DE"/>
          <w14:ligatures w14:val="none"/>
        </w:rPr>
        <w:t xml:space="preserve"> – is exploring how digital workflows can transform the study of historical sources. Over the past years, the project has brought together historians, linguists, and computer scientists to develop, evaluate, and critique workflows that connect the interpretive traditions of the humanities with the methodological rigor of data science.</w:t>
      </w:r>
      <w:r w:rsidRPr="00BD0B01">
        <w:rPr>
          <w:rFonts w:ascii="Garamond" w:eastAsia="Times New Roman" w:hAnsi="Garamond" w:cs="Times New Roman"/>
          <w:kern w:val="0"/>
          <w:sz w:val="22"/>
          <w:szCs w:val="22"/>
          <w:lang w:val="en-US" w:eastAsia="de-DE"/>
          <w14:ligatures w14:val="none"/>
        </w:rPr>
        <w:br/>
        <w:t xml:space="preserve">At its heart, FLOW is about </w:t>
      </w:r>
      <w:r w:rsidRPr="00BD0B01">
        <w:rPr>
          <w:rFonts w:ascii="Garamond" w:eastAsia="Times New Roman" w:hAnsi="Garamond" w:cs="Times New Roman"/>
          <w:i/>
          <w:iCs/>
          <w:kern w:val="0"/>
          <w:sz w:val="22"/>
          <w:szCs w:val="22"/>
          <w:lang w:val="en-US" w:eastAsia="de-DE"/>
          <w14:ligatures w14:val="none"/>
        </w:rPr>
        <w:t>creating, evaluating, and reflecting on the workflows itself</w:t>
      </w:r>
      <w:r w:rsidRPr="00BD0B01">
        <w:rPr>
          <w:rFonts w:ascii="Garamond" w:eastAsia="Times New Roman" w:hAnsi="Garamond" w:cs="Times New Roman"/>
          <w:kern w:val="0"/>
          <w:sz w:val="22"/>
          <w:szCs w:val="22"/>
          <w:lang w:val="en-US" w:eastAsia="de-DE"/>
          <w14:ligatures w14:val="none"/>
        </w:rPr>
        <w:t xml:space="preserve"> — the sequence of processes that link source material to digital interpretation. Beginning with </w:t>
      </w:r>
      <w:r w:rsidRPr="00BD0B01">
        <w:rPr>
          <w:rFonts w:ascii="Garamond" w:eastAsia="Times New Roman" w:hAnsi="Garamond" w:cs="Times New Roman"/>
          <w:b/>
          <w:bCs/>
          <w:kern w:val="0"/>
          <w:sz w:val="22"/>
          <w:szCs w:val="22"/>
          <w:lang w:val="en-US" w:eastAsia="de-DE"/>
          <w14:ligatures w14:val="none"/>
        </w:rPr>
        <w:t>text recognition</w:t>
      </w:r>
      <w:r w:rsidRPr="00BD0B01">
        <w:rPr>
          <w:rFonts w:ascii="Garamond" w:eastAsia="Times New Roman" w:hAnsi="Garamond" w:cs="Times New Roman"/>
          <w:kern w:val="0"/>
          <w:sz w:val="22"/>
          <w:szCs w:val="22"/>
          <w:lang w:val="en-US" w:eastAsia="de-DE"/>
          <w14:ligatures w14:val="none"/>
        </w:rPr>
        <w:t xml:space="preserve">, through </w:t>
      </w:r>
      <w:r w:rsidRPr="00BD0B01">
        <w:rPr>
          <w:rFonts w:ascii="Garamond" w:eastAsia="Times New Roman" w:hAnsi="Garamond" w:cs="Times New Roman"/>
          <w:b/>
          <w:bCs/>
          <w:kern w:val="0"/>
          <w:sz w:val="22"/>
          <w:szCs w:val="22"/>
          <w:lang w:val="en-US" w:eastAsia="de-DE"/>
          <w14:ligatures w14:val="none"/>
        </w:rPr>
        <w:t>text annotation</w:t>
      </w:r>
      <w:r w:rsidRPr="00BD0B01">
        <w:rPr>
          <w:rFonts w:ascii="Garamond" w:eastAsia="Times New Roman" w:hAnsi="Garamond" w:cs="Times New Roman"/>
          <w:kern w:val="0"/>
          <w:sz w:val="22"/>
          <w:szCs w:val="22"/>
          <w:lang w:val="en-US" w:eastAsia="de-DE"/>
          <w14:ligatures w14:val="none"/>
        </w:rPr>
        <w:t xml:space="preserve">, </w:t>
      </w:r>
      <w:r w:rsidRPr="00BD0B01">
        <w:rPr>
          <w:rFonts w:ascii="Garamond" w:eastAsia="Times New Roman" w:hAnsi="Garamond" w:cs="Times New Roman"/>
          <w:b/>
          <w:bCs/>
          <w:kern w:val="0"/>
          <w:sz w:val="22"/>
          <w:szCs w:val="22"/>
          <w:lang w:val="en-US" w:eastAsia="de-DE"/>
          <w14:ligatures w14:val="none"/>
        </w:rPr>
        <w:t>model training</w:t>
      </w:r>
      <w:r w:rsidRPr="00BD0B01">
        <w:rPr>
          <w:rFonts w:ascii="Garamond" w:eastAsia="Times New Roman" w:hAnsi="Garamond" w:cs="Times New Roman"/>
          <w:kern w:val="0"/>
          <w:sz w:val="22"/>
          <w:szCs w:val="22"/>
          <w:lang w:val="en-US" w:eastAsia="de-DE"/>
          <w14:ligatures w14:val="none"/>
        </w:rPr>
        <w:t xml:space="preserve">, and ultimately </w:t>
      </w:r>
      <w:r w:rsidRPr="00BD0B01">
        <w:rPr>
          <w:rFonts w:ascii="Garamond" w:eastAsia="Times New Roman" w:hAnsi="Garamond" w:cs="Times New Roman"/>
          <w:b/>
          <w:bCs/>
          <w:kern w:val="0"/>
          <w:sz w:val="22"/>
          <w:szCs w:val="22"/>
          <w:lang w:val="en-US" w:eastAsia="de-DE"/>
          <w14:ligatures w14:val="none"/>
        </w:rPr>
        <w:t>publishing</w:t>
      </w:r>
      <w:r w:rsidRPr="00BD0B01">
        <w:rPr>
          <w:rFonts w:ascii="Garamond" w:eastAsia="Times New Roman" w:hAnsi="Garamond" w:cs="Times New Roman"/>
          <w:kern w:val="0"/>
          <w:sz w:val="22"/>
          <w:szCs w:val="22"/>
          <w:lang w:val="en-US" w:eastAsia="de-DE"/>
          <w14:ligatures w14:val="none"/>
        </w:rPr>
        <w:t xml:space="preserve">, the project has sought to make each step transparent, reusable, and critically informed. By developing models for </w:t>
      </w:r>
      <w:r w:rsidRPr="00BD0B01">
        <w:rPr>
          <w:rFonts w:ascii="Garamond" w:eastAsia="Times New Roman" w:hAnsi="Garamond" w:cs="Times New Roman"/>
          <w:b/>
          <w:bCs/>
          <w:kern w:val="0"/>
          <w:sz w:val="22"/>
          <w:szCs w:val="22"/>
          <w:lang w:val="en-US" w:eastAsia="de-DE"/>
          <w14:ligatures w14:val="none"/>
        </w:rPr>
        <w:t>Handwritten Text Recognition (HTR)</w:t>
      </w:r>
      <w:r w:rsidRPr="00BD0B01">
        <w:rPr>
          <w:rFonts w:ascii="Garamond" w:eastAsia="Times New Roman" w:hAnsi="Garamond" w:cs="Times New Roman"/>
          <w:kern w:val="0"/>
          <w:sz w:val="22"/>
          <w:szCs w:val="22"/>
          <w:lang w:val="en-US" w:eastAsia="de-DE"/>
          <w14:ligatures w14:val="none"/>
        </w:rPr>
        <w:t xml:space="preserve"> and </w:t>
      </w:r>
      <w:r w:rsidRPr="00BD0B01">
        <w:rPr>
          <w:rFonts w:ascii="Garamond" w:eastAsia="Times New Roman" w:hAnsi="Garamond" w:cs="Times New Roman"/>
          <w:b/>
          <w:bCs/>
          <w:kern w:val="0"/>
          <w:sz w:val="22"/>
          <w:szCs w:val="22"/>
          <w:lang w:val="en-US" w:eastAsia="de-DE"/>
          <w14:ligatures w14:val="none"/>
        </w:rPr>
        <w:t>Natural Language Processing (NLP)</w:t>
      </w:r>
      <w:r w:rsidRPr="00BD0B01">
        <w:rPr>
          <w:rFonts w:ascii="Garamond" w:eastAsia="Times New Roman" w:hAnsi="Garamond" w:cs="Times New Roman"/>
          <w:kern w:val="0"/>
          <w:sz w:val="22"/>
          <w:szCs w:val="22"/>
          <w:lang w:val="en-US" w:eastAsia="de-DE"/>
          <w14:ligatures w14:val="none"/>
        </w:rPr>
        <w:t xml:space="preserve"> and publishing them openly on platforms such as </w:t>
      </w:r>
      <w:r w:rsidRPr="00BD0B01">
        <w:rPr>
          <w:rFonts w:ascii="Garamond" w:eastAsia="Times New Roman" w:hAnsi="Garamond" w:cs="Times New Roman"/>
          <w:b/>
          <w:bCs/>
          <w:kern w:val="0"/>
          <w:sz w:val="22"/>
          <w:szCs w:val="22"/>
          <w:lang w:val="en-US" w:eastAsia="de-DE"/>
          <w14:ligatures w14:val="none"/>
        </w:rPr>
        <w:t>Hugging Face</w:t>
      </w:r>
      <w:r w:rsidRPr="00BD0B01">
        <w:rPr>
          <w:rFonts w:ascii="Garamond" w:eastAsia="Times New Roman" w:hAnsi="Garamond" w:cs="Times New Roman"/>
          <w:kern w:val="0"/>
          <w:sz w:val="22"/>
          <w:szCs w:val="22"/>
          <w:lang w:val="en-US" w:eastAsia="de-DE"/>
          <w14:ligatures w14:val="none"/>
        </w:rPr>
        <w:t>, The Flow contributes to the broader digital humanities community and to the principle of reproducible, collaborative research.</w:t>
      </w:r>
      <w:r w:rsidRPr="00BD0B01">
        <w:rPr>
          <w:rFonts w:ascii="Garamond" w:eastAsia="Times New Roman" w:hAnsi="Garamond" w:cs="Times New Roman"/>
          <w:kern w:val="0"/>
          <w:sz w:val="22"/>
          <w:szCs w:val="22"/>
          <w:lang w:val="en-US" w:eastAsia="de-DE"/>
          <w14:ligatures w14:val="none"/>
        </w:rPr>
        <w:br/>
      </w:r>
    </w:p>
    <w:p w14:paraId="3EB137C6" w14:textId="77777777" w:rsidR="00BD0B01" w:rsidRDefault="00BD0B01" w:rsidP="00BD0B01">
      <w:pPr>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 xml:space="preserve">The project’s historical case studies form the practical testing ground for these workflows. The four doctoral projects investigate distinct legal and administrative corpora — </w:t>
      </w:r>
      <w:proofErr w:type="gramStart"/>
      <w:r w:rsidRPr="00BD0B01">
        <w:rPr>
          <w:rFonts w:ascii="Garamond" w:eastAsia="Times New Roman" w:hAnsi="Garamond" w:cs="Times New Roman"/>
          <w:kern w:val="0"/>
          <w:sz w:val="22"/>
          <w:szCs w:val="22"/>
          <w:lang w:val="en-US" w:eastAsia="de-DE"/>
          <w14:ligatures w14:val="none"/>
        </w:rPr>
        <w:t>from medieval England and the Hanseatic cities of Northern Europe,</w:t>
      </w:r>
      <w:proofErr w:type="gramEnd"/>
      <w:r w:rsidRPr="00BD0B01">
        <w:rPr>
          <w:rFonts w:ascii="Garamond" w:eastAsia="Times New Roman" w:hAnsi="Garamond" w:cs="Times New Roman"/>
          <w:kern w:val="0"/>
          <w:sz w:val="22"/>
          <w:szCs w:val="22"/>
          <w:lang w:val="en-US" w:eastAsia="de-DE"/>
          <w14:ligatures w14:val="none"/>
        </w:rPr>
        <w:t xml:space="preserve"> to the early modern records of Bern and the </w:t>
      </w:r>
      <w:proofErr w:type="spellStart"/>
      <w:r w:rsidRPr="00BD0B01">
        <w:rPr>
          <w:rFonts w:ascii="Garamond" w:eastAsia="Times New Roman" w:hAnsi="Garamond" w:cs="Times New Roman"/>
          <w:i/>
          <w:iCs/>
          <w:kern w:val="0"/>
          <w:sz w:val="22"/>
          <w:szCs w:val="22"/>
          <w:lang w:val="en-US" w:eastAsia="de-DE"/>
          <w14:ligatures w14:val="none"/>
        </w:rPr>
        <w:t>sijill</w:t>
      </w:r>
      <w:proofErr w:type="spellEnd"/>
      <w:r w:rsidRPr="00BD0B01">
        <w:rPr>
          <w:rFonts w:ascii="Garamond" w:eastAsia="Times New Roman" w:hAnsi="Garamond" w:cs="Times New Roman"/>
          <w:kern w:val="0"/>
          <w:sz w:val="22"/>
          <w:szCs w:val="22"/>
          <w:lang w:val="en-US" w:eastAsia="de-DE"/>
          <w14:ligatures w14:val="none"/>
        </w:rPr>
        <w:t xml:space="preserve"> registers of Jerusalem. Together, they demonstrate how digital methods can uncover patterns of institutional practice and social interaction that are otherwise difficult to discern in premodern texts.</w:t>
      </w:r>
      <w:r w:rsidRPr="00BD0B01">
        <w:rPr>
          <w:rFonts w:ascii="Garamond" w:eastAsia="Times New Roman" w:hAnsi="Garamond" w:cs="Times New Roman"/>
          <w:kern w:val="0"/>
          <w:sz w:val="22"/>
          <w:szCs w:val="22"/>
          <w:lang w:val="en-US" w:eastAsia="de-DE"/>
          <w14:ligatures w14:val="none"/>
        </w:rPr>
        <w:br/>
      </w:r>
    </w:p>
    <w:p w14:paraId="13CFFD0C" w14:textId="7835B016" w:rsidR="00BD0B01" w:rsidRPr="00BD0B01" w:rsidRDefault="00BD0B01" w:rsidP="00BD0B01">
      <w:pPr>
        <w:rPr>
          <w:rFonts w:ascii="Garamond" w:eastAsia="Times New Roman" w:hAnsi="Garamond" w:cs="Times New Roman"/>
          <w:kern w:val="0"/>
          <w:sz w:val="22"/>
          <w:szCs w:val="22"/>
          <w:lang w:eastAsia="de-DE"/>
          <w14:ligatures w14:val="none"/>
        </w:rPr>
      </w:pPr>
      <w:r w:rsidRPr="00BD0B01">
        <w:rPr>
          <w:rFonts w:ascii="Garamond" w:eastAsia="Times New Roman" w:hAnsi="Garamond" w:cs="Times New Roman"/>
          <w:kern w:val="0"/>
          <w:sz w:val="22"/>
          <w:szCs w:val="22"/>
          <w:lang w:val="en-US" w:eastAsia="de-DE"/>
          <w14:ligatures w14:val="none"/>
        </w:rPr>
        <w:t xml:space="preserve">This final conference in Bern marks both a conclusion and a beginning. It offers a platform for </w:t>
      </w:r>
      <w:r w:rsidRPr="00BD0B01">
        <w:rPr>
          <w:rFonts w:ascii="Garamond" w:eastAsia="Times New Roman" w:hAnsi="Garamond" w:cs="Times New Roman"/>
          <w:b/>
          <w:bCs/>
          <w:kern w:val="0"/>
          <w:sz w:val="22"/>
          <w:szCs w:val="22"/>
          <w:lang w:val="en-US" w:eastAsia="de-DE"/>
          <w14:ligatures w14:val="none"/>
        </w:rPr>
        <w:t>external experts</w:t>
      </w:r>
      <w:r w:rsidRPr="00BD0B01">
        <w:rPr>
          <w:rFonts w:ascii="Garamond" w:eastAsia="Times New Roman" w:hAnsi="Garamond" w:cs="Times New Roman"/>
          <w:kern w:val="0"/>
          <w:sz w:val="22"/>
          <w:szCs w:val="22"/>
          <w:lang w:val="en-US" w:eastAsia="de-DE"/>
          <w14:ligatures w14:val="none"/>
        </w:rPr>
        <w:t xml:space="preserve"> to discuss the epistemological and methodological implications of digital workflows in the humanities, while giving the </w:t>
      </w:r>
      <w:r w:rsidRPr="00BD0B01">
        <w:rPr>
          <w:rFonts w:ascii="Garamond" w:eastAsia="Times New Roman" w:hAnsi="Garamond" w:cs="Times New Roman"/>
          <w:b/>
          <w:bCs/>
          <w:kern w:val="0"/>
          <w:sz w:val="22"/>
          <w:szCs w:val="22"/>
          <w:lang w:val="en-US" w:eastAsia="de-DE"/>
          <w14:ligatures w14:val="none"/>
        </w:rPr>
        <w:t>Flow doctoral researchers</w:t>
      </w:r>
      <w:r w:rsidRPr="00BD0B01">
        <w:rPr>
          <w:rFonts w:ascii="Garamond" w:eastAsia="Times New Roman" w:hAnsi="Garamond" w:cs="Times New Roman"/>
          <w:kern w:val="0"/>
          <w:sz w:val="22"/>
          <w:szCs w:val="22"/>
          <w:lang w:val="en-US" w:eastAsia="de-DE"/>
          <w14:ligatures w14:val="none"/>
        </w:rPr>
        <w:t xml:space="preserve"> the opportunity to present their findings and reflect on the integration of machine learning in historical research. The different experts will engage in a discussion on the infrastructural, methodological, and data-driven foundations of scholarly work, with particular attention to the role of clearly structured digital workflows in an era of growing AI hype. To ensure targeted and transparent digital text practices, the papers explore key workflow components such as automated handwriting recognition, text recognition and processing, named entity recognition, and language modelling.</w:t>
      </w:r>
      <w:r w:rsidRPr="00BD0B01">
        <w:rPr>
          <w:rFonts w:ascii="Garamond" w:eastAsia="Times New Roman" w:hAnsi="Garamond" w:cs="Times New Roman"/>
          <w:kern w:val="0"/>
          <w:sz w:val="22"/>
          <w:szCs w:val="22"/>
          <w:lang w:val="en-US" w:eastAsia="de-DE"/>
          <w14:ligatures w14:val="none"/>
        </w:rPr>
        <w:br/>
      </w:r>
      <w:r w:rsidRPr="00BD0B01">
        <w:rPr>
          <w:rFonts w:ascii="Garamond" w:eastAsia="Times New Roman" w:hAnsi="Garamond" w:cs="Times New Roman"/>
          <w:kern w:val="0"/>
          <w:sz w:val="22"/>
          <w:szCs w:val="22"/>
          <w:lang w:eastAsia="de-DE"/>
          <w14:ligatures w14:val="none"/>
        </w:rPr>
        <w:t xml:space="preserve">Central </w:t>
      </w:r>
      <w:proofErr w:type="spellStart"/>
      <w:r w:rsidRPr="00BD0B01">
        <w:rPr>
          <w:rFonts w:ascii="Garamond" w:eastAsia="Times New Roman" w:hAnsi="Garamond" w:cs="Times New Roman"/>
          <w:kern w:val="0"/>
          <w:sz w:val="22"/>
          <w:szCs w:val="22"/>
          <w:lang w:eastAsia="de-DE"/>
          <w14:ligatures w14:val="none"/>
        </w:rPr>
        <w:t>questions</w:t>
      </w:r>
      <w:proofErr w:type="spellEnd"/>
      <w:r w:rsidRPr="00BD0B01">
        <w:rPr>
          <w:rFonts w:ascii="Garamond" w:eastAsia="Times New Roman" w:hAnsi="Garamond" w:cs="Times New Roman"/>
          <w:kern w:val="0"/>
          <w:sz w:val="22"/>
          <w:szCs w:val="22"/>
          <w:lang w:eastAsia="de-DE"/>
          <w14:ligatures w14:val="none"/>
        </w:rPr>
        <w:t xml:space="preserve"> </w:t>
      </w:r>
      <w:proofErr w:type="spellStart"/>
      <w:r w:rsidRPr="00BD0B01">
        <w:rPr>
          <w:rFonts w:ascii="Garamond" w:eastAsia="Times New Roman" w:hAnsi="Garamond" w:cs="Times New Roman"/>
          <w:kern w:val="0"/>
          <w:sz w:val="22"/>
          <w:szCs w:val="22"/>
          <w:lang w:eastAsia="de-DE"/>
          <w14:ligatures w14:val="none"/>
        </w:rPr>
        <w:t>include</w:t>
      </w:r>
      <w:proofErr w:type="spellEnd"/>
      <w:r w:rsidRPr="00BD0B01">
        <w:rPr>
          <w:rFonts w:ascii="Garamond" w:eastAsia="Times New Roman" w:hAnsi="Garamond" w:cs="Times New Roman"/>
          <w:kern w:val="0"/>
          <w:sz w:val="22"/>
          <w:szCs w:val="22"/>
          <w:lang w:eastAsia="de-DE"/>
          <w14:ligatures w14:val="none"/>
        </w:rPr>
        <w:t>:</w:t>
      </w:r>
    </w:p>
    <w:p w14:paraId="2D2B7BA5" w14:textId="77777777" w:rsidR="00BD0B01" w:rsidRPr="00BD0B01" w:rsidRDefault="00BD0B01" w:rsidP="00BD0B01">
      <w:pPr>
        <w:numPr>
          <w:ilvl w:val="0"/>
          <w:numId w:val="1"/>
        </w:numPr>
        <w:spacing w:before="100" w:beforeAutospacing="1" w:after="100" w:afterAutospacing="1"/>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What kinds of digital workflows exist, and how are they structured?</w:t>
      </w:r>
    </w:p>
    <w:p w14:paraId="78332AF3" w14:textId="77777777" w:rsidR="00BD0B01" w:rsidRPr="00BD0B01" w:rsidRDefault="00BD0B01" w:rsidP="00BD0B01">
      <w:pPr>
        <w:numPr>
          <w:ilvl w:val="0"/>
          <w:numId w:val="1"/>
        </w:numPr>
        <w:spacing w:before="100" w:beforeAutospacing="1" w:after="100" w:afterAutospacing="1"/>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At which stages of a research project can specific questions or tasks meaningfully be addressed through digital or automated methods?</w:t>
      </w:r>
    </w:p>
    <w:p w14:paraId="5E03AD74" w14:textId="77777777" w:rsidR="00BD0B01" w:rsidRPr="00BD0B01" w:rsidRDefault="00BD0B01" w:rsidP="00BD0B01">
      <w:pPr>
        <w:numPr>
          <w:ilvl w:val="0"/>
          <w:numId w:val="1"/>
        </w:numPr>
        <w:spacing w:before="100" w:beforeAutospacing="1" w:after="100" w:afterAutospacing="1"/>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Which strategies support reproducibility and long-term usability of digital research?</w:t>
      </w:r>
    </w:p>
    <w:p w14:paraId="4E221AAC" w14:textId="77777777" w:rsidR="00BD0B01" w:rsidRPr="00BD0B01" w:rsidRDefault="00BD0B01" w:rsidP="00BD0B01">
      <w:pPr>
        <w:numPr>
          <w:ilvl w:val="0"/>
          <w:numId w:val="1"/>
        </w:numPr>
        <w:spacing w:before="100" w:beforeAutospacing="1" w:after="100" w:afterAutospacing="1"/>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 xml:space="preserve">Which resources - both equipment and different </w:t>
      </w:r>
      <w:proofErr w:type="spellStart"/>
      <w:r w:rsidRPr="00BD0B01">
        <w:rPr>
          <w:rFonts w:ascii="Garamond" w:eastAsia="Times New Roman" w:hAnsi="Garamond" w:cs="Times New Roman"/>
          <w:kern w:val="0"/>
          <w:sz w:val="22"/>
          <w:szCs w:val="22"/>
          <w:lang w:val="en-US" w:eastAsia="de-DE"/>
          <w14:ligatures w14:val="none"/>
        </w:rPr>
        <w:t>expertises</w:t>
      </w:r>
      <w:proofErr w:type="spellEnd"/>
      <w:r w:rsidRPr="00BD0B01">
        <w:rPr>
          <w:rFonts w:ascii="Garamond" w:eastAsia="Times New Roman" w:hAnsi="Garamond" w:cs="Times New Roman"/>
          <w:kern w:val="0"/>
          <w:sz w:val="22"/>
          <w:szCs w:val="22"/>
          <w:lang w:val="en-US" w:eastAsia="de-DE"/>
          <w14:ligatures w14:val="none"/>
        </w:rPr>
        <w:t xml:space="preserve"> - are needed to design to implement digital workflows for a variety of digital tasks in historical research?</w:t>
      </w:r>
    </w:p>
    <w:p w14:paraId="0D662908" w14:textId="77777777" w:rsidR="00BD0B01" w:rsidRDefault="00BD0B01" w:rsidP="00BD0B01">
      <w:pPr>
        <w:rPr>
          <w:rFonts w:ascii="Garamond" w:eastAsia="Times New Roman" w:hAnsi="Garamond" w:cs="Times New Roman"/>
          <w:kern w:val="0"/>
          <w:sz w:val="22"/>
          <w:szCs w:val="22"/>
          <w:lang w:val="en-US" w:eastAsia="de-DE"/>
          <w14:ligatures w14:val="none"/>
        </w:rPr>
      </w:pPr>
      <w:r w:rsidRPr="00BD0B01">
        <w:rPr>
          <w:rFonts w:ascii="Garamond" w:eastAsia="Times New Roman" w:hAnsi="Garamond" w:cs="Times New Roman"/>
          <w:kern w:val="0"/>
          <w:sz w:val="22"/>
          <w:szCs w:val="22"/>
          <w:lang w:val="en-US" w:eastAsia="de-DE"/>
          <w14:ligatures w14:val="none"/>
        </w:rPr>
        <w:t>By bringing a variety of digital perspectives together, the conference invites us to think about what it means to “work in flow” — to move between documents and algorithms, between human interpretation and machine learning — and how such movement can expand the horizons of historical inquiry.</w:t>
      </w:r>
      <w:r w:rsidRPr="00BD0B01">
        <w:rPr>
          <w:rFonts w:ascii="Garamond" w:eastAsia="Times New Roman" w:hAnsi="Garamond" w:cs="Times New Roman"/>
          <w:kern w:val="0"/>
          <w:sz w:val="22"/>
          <w:szCs w:val="22"/>
          <w:lang w:val="en-US" w:eastAsia="de-DE"/>
          <w14:ligatures w14:val="none"/>
        </w:rPr>
        <w:br/>
        <w:t>As a result of the conference, a joint publication will be submitted to the peer-reviewed series “Digital Humanities Research” (Bielefeld University Press).</w:t>
      </w:r>
    </w:p>
    <w:p w14:paraId="02D1295B" w14:textId="77777777" w:rsidR="0082262F" w:rsidRDefault="0082262F" w:rsidP="00BD0B01">
      <w:pPr>
        <w:rPr>
          <w:rFonts w:ascii="Garamond" w:eastAsia="Times New Roman" w:hAnsi="Garamond" w:cs="Times New Roman"/>
          <w:kern w:val="0"/>
          <w:sz w:val="22"/>
          <w:szCs w:val="22"/>
          <w:lang w:val="en-US" w:eastAsia="de-DE"/>
          <w14:ligatures w14:val="none"/>
        </w:rPr>
      </w:pPr>
    </w:p>
    <w:p w14:paraId="132BBD02" w14:textId="77777777" w:rsidR="0082262F" w:rsidRPr="00BD0B01" w:rsidRDefault="0082262F" w:rsidP="00BD0B01">
      <w:pPr>
        <w:rPr>
          <w:rFonts w:ascii="Garamond" w:eastAsia="Times New Roman" w:hAnsi="Garamond" w:cs="Times New Roman"/>
          <w:kern w:val="0"/>
          <w:sz w:val="22"/>
          <w:szCs w:val="22"/>
          <w:lang w:val="en-US" w:eastAsia="de-DE"/>
          <w14:ligatures w14:val="none"/>
        </w:rPr>
      </w:pPr>
    </w:p>
    <w:p w14:paraId="6ADC03BF" w14:textId="1ECE4C2A" w:rsidR="009830AE" w:rsidRDefault="0082262F">
      <w:r>
        <w:fldChar w:fldCharType="begin"/>
      </w:r>
      <w:r>
        <w:instrText xml:space="preserve"> INCLUDEPICTURE "https://www.flow-project.net/assets/img/logos/WBKDH.png" \* MERGEFORMATINET </w:instrText>
      </w:r>
      <w:r>
        <w:fldChar w:fldCharType="separate"/>
      </w:r>
      <w:r>
        <w:rPr>
          <w:noProof/>
        </w:rPr>
        <w:drawing>
          <wp:inline distT="0" distB="0" distL="0" distR="0" wp14:anchorId="686C2203" wp14:editId="7FE2EB2C">
            <wp:extent cx="1254512" cy="659476"/>
            <wp:effectExtent l="0" t="0" r="3175" b="1270"/>
            <wp:docPr id="1299330106" name="Grafik 1" descr="Logo Digital Humanities, University of B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igital Humanities, University of Ber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45" cy="675316"/>
                    </a:xfrm>
                    <a:prstGeom prst="rect">
                      <a:avLst/>
                    </a:prstGeom>
                    <a:noFill/>
                    <a:ln>
                      <a:noFill/>
                    </a:ln>
                  </pic:spPr>
                </pic:pic>
              </a:graphicData>
            </a:graphic>
          </wp:inline>
        </w:drawing>
      </w:r>
      <w:r>
        <w:fldChar w:fldCharType="end"/>
      </w:r>
      <w:r>
        <w:tab/>
      </w:r>
      <w:r>
        <w:tab/>
      </w:r>
      <w:r>
        <w:tab/>
        <w:t xml:space="preserve"> </w:t>
      </w:r>
      <w:r>
        <w:fldChar w:fldCharType="begin"/>
      </w:r>
      <w:r>
        <w:instrText xml:space="preserve"> INCLUDEPICTURE "https://www.flow-project.net/assets/img/logos/bielefeld_en_transparent.png" \* MERGEFORMATINET </w:instrText>
      </w:r>
      <w:r>
        <w:fldChar w:fldCharType="separate"/>
      </w:r>
      <w:r>
        <w:rPr>
          <w:noProof/>
        </w:rPr>
        <w:drawing>
          <wp:inline distT="0" distB="0" distL="0" distR="0" wp14:anchorId="07260CFD" wp14:editId="765FDE61">
            <wp:extent cx="1097280" cy="633186"/>
            <wp:effectExtent l="0" t="0" r="0" b="0"/>
            <wp:docPr id="1307607690" name="Grafik 2" descr="Logo Digital History, Bielefel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igital History, Bielefeld Univers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2813" cy="659461"/>
                    </a:xfrm>
                    <a:prstGeom prst="rect">
                      <a:avLst/>
                    </a:prstGeom>
                    <a:noFill/>
                    <a:ln>
                      <a:noFill/>
                    </a:ln>
                  </pic:spPr>
                </pic:pic>
              </a:graphicData>
            </a:graphic>
          </wp:inline>
        </w:drawing>
      </w:r>
      <w:r>
        <w:fldChar w:fldCharType="end"/>
      </w:r>
      <w:r>
        <w:tab/>
      </w:r>
      <w:r w:rsidRPr="0082262F">
        <w:t xml:space="preserve"> </w:t>
      </w:r>
      <w:r>
        <w:tab/>
      </w:r>
      <w:r>
        <w:tab/>
      </w:r>
      <w:r>
        <w:fldChar w:fldCharType="begin"/>
      </w:r>
      <w:r>
        <w:instrText xml:space="preserve"> INCLUDEPICTURE "https://www.flow-project.net/assets/img/logos/FGHO_Logo_schwarz_links.jpg" \* MERGEFORMATINET </w:instrText>
      </w:r>
      <w:r>
        <w:fldChar w:fldCharType="separate"/>
      </w:r>
      <w:r>
        <w:rPr>
          <w:noProof/>
        </w:rPr>
        <w:drawing>
          <wp:inline distT="0" distB="0" distL="0" distR="0" wp14:anchorId="6A8F6836" wp14:editId="082997DA">
            <wp:extent cx="852040" cy="629920"/>
            <wp:effectExtent l="0" t="0" r="0" b="5080"/>
            <wp:docPr id="777267783" name="Grafik 3" descr="Logo Research Centre for Hanse and Baltic History, European Hansemuseum Lü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Research Centre for Hanse and Baltic History, European Hansemuseum Lübe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656" cy="662166"/>
                    </a:xfrm>
                    <a:prstGeom prst="rect">
                      <a:avLst/>
                    </a:prstGeom>
                    <a:noFill/>
                    <a:ln>
                      <a:noFill/>
                    </a:ln>
                  </pic:spPr>
                </pic:pic>
              </a:graphicData>
            </a:graphic>
          </wp:inline>
        </w:drawing>
      </w:r>
      <w:r>
        <w:fldChar w:fldCharType="end"/>
      </w:r>
    </w:p>
    <w:p w14:paraId="25876DD5" w14:textId="77777777" w:rsidR="007310A5" w:rsidRDefault="007310A5"/>
    <w:p w14:paraId="6084D424" w14:textId="62CB5A4B" w:rsidR="007310A5" w:rsidRDefault="007310A5">
      <w:r>
        <w:br w:type="page"/>
      </w:r>
    </w:p>
    <w:p w14:paraId="44F43505" w14:textId="6C1BA2AD" w:rsidR="007310A5" w:rsidRPr="007704F9" w:rsidRDefault="007310A5">
      <w:pPr>
        <w:rPr>
          <w:rFonts w:ascii="Garamond" w:eastAsia="Times New Roman" w:hAnsi="Garamond" w:cs="Times New Roman"/>
          <w:b/>
          <w:bCs/>
          <w:kern w:val="0"/>
          <w:sz w:val="22"/>
          <w:szCs w:val="22"/>
          <w:lang w:val="en-US" w:eastAsia="de-DE"/>
          <w14:ligatures w14:val="none"/>
        </w:rPr>
      </w:pPr>
      <w:r w:rsidRPr="007704F9">
        <w:rPr>
          <w:rFonts w:ascii="Garamond" w:eastAsia="Times New Roman" w:hAnsi="Garamond" w:cs="Times New Roman"/>
          <w:b/>
          <w:bCs/>
          <w:kern w:val="0"/>
          <w:sz w:val="22"/>
          <w:szCs w:val="22"/>
          <w:lang w:val="en-US" w:eastAsia="de-DE"/>
          <w14:ligatures w14:val="none"/>
        </w:rPr>
        <w:lastRenderedPageBreak/>
        <w:t>Program</w:t>
      </w:r>
    </w:p>
    <w:p w14:paraId="653734B2" w14:textId="77777777" w:rsidR="007310A5" w:rsidRDefault="007310A5">
      <w:pPr>
        <w:rPr>
          <w:rFonts w:ascii="Garamond" w:hAnsi="Garamond"/>
          <w:sz w:val="22"/>
          <w:szCs w:val="22"/>
          <w:lang w:val="en-US"/>
        </w:rPr>
      </w:pPr>
    </w:p>
    <w:tbl>
      <w:tblPr>
        <w:tblStyle w:val="TableGrid"/>
        <w:tblW w:w="0" w:type="auto"/>
        <w:tblLook w:val="04A0" w:firstRow="1" w:lastRow="0" w:firstColumn="1" w:lastColumn="0" w:noHBand="0" w:noVBand="1"/>
      </w:tblPr>
      <w:tblGrid>
        <w:gridCol w:w="1129"/>
        <w:gridCol w:w="4111"/>
        <w:gridCol w:w="3822"/>
      </w:tblGrid>
      <w:tr w:rsidR="007310A5" w14:paraId="7538A7FC" w14:textId="77777777" w:rsidTr="007310A5">
        <w:tc>
          <w:tcPr>
            <w:tcW w:w="1129" w:type="dxa"/>
          </w:tcPr>
          <w:p w14:paraId="3A262B75" w14:textId="77777777" w:rsidR="007310A5" w:rsidRDefault="007310A5">
            <w:pPr>
              <w:rPr>
                <w:rFonts w:ascii="Garamond" w:hAnsi="Garamond"/>
                <w:sz w:val="22"/>
                <w:szCs w:val="22"/>
                <w:lang w:val="en-US"/>
              </w:rPr>
            </w:pPr>
          </w:p>
        </w:tc>
        <w:tc>
          <w:tcPr>
            <w:tcW w:w="4111" w:type="dxa"/>
          </w:tcPr>
          <w:p w14:paraId="655DEAB6" w14:textId="6FB1F34D" w:rsidR="007310A5" w:rsidRDefault="007310A5">
            <w:pPr>
              <w:rPr>
                <w:rFonts w:ascii="Garamond" w:hAnsi="Garamond"/>
                <w:sz w:val="22"/>
                <w:szCs w:val="22"/>
                <w:lang w:val="en-US"/>
              </w:rPr>
            </w:pPr>
            <w:r>
              <w:rPr>
                <w:rFonts w:ascii="Garamond" w:hAnsi="Garamond"/>
                <w:sz w:val="22"/>
                <w:szCs w:val="22"/>
                <w:lang w:val="en-US"/>
              </w:rPr>
              <w:t>Thu. 11</w:t>
            </w:r>
            <w:r w:rsidRPr="007310A5">
              <w:rPr>
                <w:rFonts w:ascii="Garamond" w:hAnsi="Garamond"/>
                <w:sz w:val="22"/>
                <w:szCs w:val="22"/>
                <w:vertAlign w:val="superscript"/>
                <w:lang w:val="en-US"/>
              </w:rPr>
              <w:t>th</w:t>
            </w:r>
            <w:r>
              <w:rPr>
                <w:rFonts w:ascii="Garamond" w:hAnsi="Garamond"/>
                <w:sz w:val="22"/>
                <w:szCs w:val="22"/>
                <w:lang w:val="en-US"/>
              </w:rPr>
              <w:t xml:space="preserve"> of June 2026</w:t>
            </w:r>
          </w:p>
        </w:tc>
        <w:tc>
          <w:tcPr>
            <w:tcW w:w="3822" w:type="dxa"/>
          </w:tcPr>
          <w:p w14:paraId="5F0245B2" w14:textId="48A461DA" w:rsidR="007310A5" w:rsidRDefault="007310A5">
            <w:pPr>
              <w:rPr>
                <w:rFonts w:ascii="Garamond" w:hAnsi="Garamond"/>
                <w:sz w:val="22"/>
                <w:szCs w:val="22"/>
                <w:lang w:val="en-US"/>
              </w:rPr>
            </w:pPr>
            <w:r>
              <w:rPr>
                <w:rFonts w:ascii="Garamond" w:hAnsi="Garamond"/>
                <w:sz w:val="22"/>
                <w:szCs w:val="22"/>
                <w:lang w:val="en-US"/>
              </w:rPr>
              <w:t>Fri. 12</w:t>
            </w:r>
            <w:r w:rsidRPr="007310A5">
              <w:rPr>
                <w:rFonts w:ascii="Garamond" w:hAnsi="Garamond"/>
                <w:sz w:val="22"/>
                <w:szCs w:val="22"/>
                <w:vertAlign w:val="superscript"/>
                <w:lang w:val="en-US"/>
              </w:rPr>
              <w:t>th</w:t>
            </w:r>
            <w:r>
              <w:rPr>
                <w:rFonts w:ascii="Garamond" w:hAnsi="Garamond"/>
                <w:sz w:val="22"/>
                <w:szCs w:val="22"/>
                <w:lang w:val="en-US"/>
              </w:rPr>
              <w:t xml:space="preserve"> of June 2026</w:t>
            </w:r>
          </w:p>
        </w:tc>
      </w:tr>
      <w:tr w:rsidR="007310A5" w14:paraId="1355FB32" w14:textId="77777777" w:rsidTr="007310A5">
        <w:tc>
          <w:tcPr>
            <w:tcW w:w="1129" w:type="dxa"/>
          </w:tcPr>
          <w:p w14:paraId="19916516" w14:textId="12EF3E60" w:rsidR="007310A5" w:rsidRDefault="007310A5">
            <w:pPr>
              <w:rPr>
                <w:rFonts w:ascii="Garamond" w:hAnsi="Garamond"/>
                <w:sz w:val="22"/>
                <w:szCs w:val="22"/>
                <w:lang w:val="en-US"/>
              </w:rPr>
            </w:pPr>
            <w:r>
              <w:rPr>
                <w:rFonts w:ascii="Garamond" w:hAnsi="Garamond"/>
                <w:sz w:val="22"/>
                <w:szCs w:val="22"/>
                <w:lang w:val="en-US"/>
              </w:rPr>
              <w:t>09:00</w:t>
            </w:r>
          </w:p>
        </w:tc>
        <w:tc>
          <w:tcPr>
            <w:tcW w:w="4111" w:type="dxa"/>
          </w:tcPr>
          <w:p w14:paraId="79DFBE1A" w14:textId="4EE766DB" w:rsidR="007310A5" w:rsidRDefault="007310A5">
            <w:pPr>
              <w:rPr>
                <w:rFonts w:ascii="Garamond" w:hAnsi="Garamond"/>
                <w:sz w:val="22"/>
                <w:szCs w:val="22"/>
                <w:lang w:val="en-US"/>
              </w:rPr>
            </w:pPr>
            <w:r>
              <w:rPr>
                <w:rFonts w:ascii="Garamond" w:hAnsi="Garamond"/>
                <w:sz w:val="22"/>
                <w:szCs w:val="22"/>
                <w:lang w:val="en-US"/>
              </w:rPr>
              <w:t>Welcome</w:t>
            </w:r>
          </w:p>
        </w:tc>
        <w:tc>
          <w:tcPr>
            <w:tcW w:w="3822" w:type="dxa"/>
          </w:tcPr>
          <w:p w14:paraId="178CE5BB" w14:textId="77777777" w:rsidR="007310A5" w:rsidRDefault="007310A5">
            <w:pPr>
              <w:rPr>
                <w:rFonts w:ascii="Garamond" w:hAnsi="Garamond"/>
                <w:sz w:val="22"/>
                <w:szCs w:val="22"/>
                <w:lang w:val="en-US"/>
              </w:rPr>
            </w:pPr>
          </w:p>
        </w:tc>
      </w:tr>
      <w:tr w:rsidR="00F84E47" w:rsidRPr="0063480D" w14:paraId="21256014" w14:textId="77777777" w:rsidTr="007310A5">
        <w:tc>
          <w:tcPr>
            <w:tcW w:w="1129" w:type="dxa"/>
          </w:tcPr>
          <w:p w14:paraId="649272D8" w14:textId="1C73C5AC" w:rsidR="00F84E47" w:rsidRDefault="00F84E47">
            <w:pPr>
              <w:rPr>
                <w:rFonts w:ascii="Garamond" w:hAnsi="Garamond"/>
                <w:sz w:val="22"/>
                <w:szCs w:val="22"/>
                <w:lang w:val="en-US"/>
              </w:rPr>
            </w:pPr>
            <w:r>
              <w:rPr>
                <w:rFonts w:ascii="Garamond" w:hAnsi="Garamond"/>
                <w:sz w:val="22"/>
                <w:szCs w:val="22"/>
                <w:lang w:val="en-US"/>
              </w:rPr>
              <w:t>09:15</w:t>
            </w:r>
          </w:p>
        </w:tc>
        <w:tc>
          <w:tcPr>
            <w:tcW w:w="4111" w:type="dxa"/>
          </w:tcPr>
          <w:p w14:paraId="28DEBE5C" w14:textId="77777777" w:rsidR="00F84E47" w:rsidRDefault="00F84E47">
            <w:pPr>
              <w:rPr>
                <w:rFonts w:ascii="Garamond" w:hAnsi="Garamond"/>
                <w:sz w:val="22"/>
                <w:szCs w:val="22"/>
                <w:lang w:val="en-US"/>
              </w:rPr>
            </w:pPr>
            <w:r>
              <w:rPr>
                <w:rFonts w:ascii="Garamond" w:hAnsi="Garamond"/>
                <w:sz w:val="22"/>
                <w:szCs w:val="22"/>
                <w:lang w:val="en-US"/>
              </w:rPr>
              <w:t>Intro by the organizers</w:t>
            </w:r>
          </w:p>
          <w:p w14:paraId="614CC5D2" w14:textId="6342012B" w:rsidR="00F84E47" w:rsidRDefault="00F84E47">
            <w:pPr>
              <w:rPr>
                <w:rFonts w:ascii="Garamond" w:hAnsi="Garamond"/>
                <w:sz w:val="22"/>
                <w:szCs w:val="22"/>
                <w:lang w:val="en-US"/>
              </w:rPr>
            </w:pPr>
            <w:r>
              <w:rPr>
                <w:rFonts w:ascii="Garamond" w:hAnsi="Garamond"/>
                <w:sz w:val="22"/>
                <w:szCs w:val="22"/>
                <w:lang w:val="en-US"/>
              </w:rPr>
              <w:t>Serena, Silke, Angela, Tobias</w:t>
            </w:r>
          </w:p>
        </w:tc>
        <w:tc>
          <w:tcPr>
            <w:tcW w:w="3822" w:type="dxa"/>
            <w:vMerge w:val="restart"/>
          </w:tcPr>
          <w:p w14:paraId="1C00B54B" w14:textId="77777777" w:rsidR="00F84E47" w:rsidRDefault="00F84E47">
            <w:pPr>
              <w:rPr>
                <w:rFonts w:ascii="Garamond" w:hAnsi="Garamond"/>
                <w:sz w:val="22"/>
                <w:szCs w:val="22"/>
                <w:lang w:val="en-US"/>
              </w:rPr>
            </w:pPr>
            <w:r>
              <w:rPr>
                <w:rFonts w:ascii="Garamond" w:hAnsi="Garamond"/>
                <w:sz w:val="22"/>
                <w:szCs w:val="22"/>
                <w:lang w:val="en-US"/>
              </w:rPr>
              <w:t>Corpus &amp; Text Re-Use</w:t>
            </w:r>
          </w:p>
          <w:p w14:paraId="3D2248CA" w14:textId="614ACAB7" w:rsidR="0063480D" w:rsidRDefault="0041503E">
            <w:pPr>
              <w:rPr>
                <w:rFonts w:ascii="Garamond" w:hAnsi="Garamond"/>
                <w:sz w:val="22"/>
                <w:szCs w:val="22"/>
                <w:lang w:val="en-US"/>
              </w:rPr>
            </w:pPr>
            <w:r>
              <w:rPr>
                <w:rFonts w:ascii="Garamond" w:hAnsi="Garamond"/>
                <w:sz w:val="22"/>
                <w:szCs w:val="22"/>
                <w:lang w:val="en-US"/>
              </w:rPr>
              <w:t>Peter Verkinderen</w:t>
            </w:r>
          </w:p>
          <w:p w14:paraId="08EE205C" w14:textId="7CF42452" w:rsidR="00F84E47" w:rsidRDefault="00F84E47">
            <w:pPr>
              <w:rPr>
                <w:rFonts w:ascii="Garamond" w:hAnsi="Garamond"/>
                <w:sz w:val="22"/>
                <w:szCs w:val="22"/>
                <w:lang w:val="en-US"/>
              </w:rPr>
            </w:pPr>
            <w:r>
              <w:rPr>
                <w:rFonts w:ascii="Garamond" w:hAnsi="Garamond"/>
                <w:sz w:val="22"/>
                <w:szCs w:val="22"/>
                <w:lang w:val="en-US"/>
              </w:rPr>
              <w:t>Sefer</w:t>
            </w:r>
          </w:p>
          <w:p w14:paraId="11D99C5C" w14:textId="77777777" w:rsidR="00F84E47" w:rsidRDefault="00F84E47" w:rsidP="001C31C0">
            <w:pPr>
              <w:rPr>
                <w:rFonts w:ascii="Garamond" w:hAnsi="Garamond"/>
                <w:sz w:val="22"/>
                <w:szCs w:val="22"/>
                <w:lang w:val="en-US"/>
              </w:rPr>
            </w:pPr>
            <w:r>
              <w:rPr>
                <w:rFonts w:ascii="Garamond" w:hAnsi="Garamond"/>
                <w:sz w:val="22"/>
                <w:szCs w:val="22"/>
                <w:lang w:val="en-US"/>
              </w:rPr>
              <w:t>Inga</w:t>
            </w:r>
          </w:p>
          <w:p w14:paraId="594E0512" w14:textId="2221923E" w:rsidR="0063480D" w:rsidRDefault="0063480D" w:rsidP="001C31C0">
            <w:pPr>
              <w:rPr>
                <w:rFonts w:ascii="Garamond" w:hAnsi="Garamond"/>
                <w:sz w:val="22"/>
                <w:szCs w:val="22"/>
                <w:lang w:val="en-US"/>
              </w:rPr>
            </w:pPr>
          </w:p>
        </w:tc>
      </w:tr>
      <w:tr w:rsidR="00F84E47" w14:paraId="1BA5DB2D" w14:textId="77777777" w:rsidTr="007310A5">
        <w:tc>
          <w:tcPr>
            <w:tcW w:w="1129" w:type="dxa"/>
          </w:tcPr>
          <w:p w14:paraId="31E39F41" w14:textId="3FFA071D" w:rsidR="00F84E47" w:rsidRDefault="00F84E47">
            <w:pPr>
              <w:rPr>
                <w:rFonts w:ascii="Garamond" w:hAnsi="Garamond"/>
                <w:sz w:val="22"/>
                <w:szCs w:val="22"/>
                <w:lang w:val="en-US"/>
              </w:rPr>
            </w:pPr>
            <w:r>
              <w:rPr>
                <w:rFonts w:ascii="Garamond" w:hAnsi="Garamond"/>
                <w:sz w:val="22"/>
                <w:szCs w:val="22"/>
                <w:lang w:val="en-US"/>
              </w:rPr>
              <w:t>09:45</w:t>
            </w:r>
          </w:p>
        </w:tc>
        <w:tc>
          <w:tcPr>
            <w:tcW w:w="4111" w:type="dxa"/>
          </w:tcPr>
          <w:p w14:paraId="744A5609" w14:textId="77777777" w:rsidR="00F84E47" w:rsidRDefault="00F84E47">
            <w:pPr>
              <w:rPr>
                <w:rFonts w:ascii="Garamond" w:hAnsi="Garamond"/>
                <w:sz w:val="22"/>
                <w:szCs w:val="22"/>
                <w:lang w:val="en-US"/>
              </w:rPr>
            </w:pPr>
            <w:r>
              <w:rPr>
                <w:rFonts w:ascii="Garamond" w:hAnsi="Garamond"/>
                <w:sz w:val="22"/>
                <w:szCs w:val="22"/>
                <w:lang w:val="en-US"/>
              </w:rPr>
              <w:t>Input by Developers</w:t>
            </w:r>
          </w:p>
          <w:p w14:paraId="5CD8AAEA" w14:textId="77777777" w:rsidR="00F84E47" w:rsidRDefault="00F84E47">
            <w:pPr>
              <w:rPr>
                <w:rFonts w:ascii="Garamond" w:hAnsi="Garamond"/>
                <w:sz w:val="22"/>
                <w:szCs w:val="22"/>
                <w:lang w:val="en-US"/>
              </w:rPr>
            </w:pPr>
            <w:r>
              <w:rPr>
                <w:rFonts w:ascii="Garamond" w:hAnsi="Garamond"/>
                <w:sz w:val="22"/>
                <w:szCs w:val="22"/>
                <w:lang w:val="en-US"/>
              </w:rPr>
              <w:t>From Preprocessing to Text Recognition; from Language Modeling to Information Extraction</w:t>
            </w:r>
          </w:p>
          <w:p w14:paraId="7DE72774" w14:textId="77777777" w:rsidR="00F84E47" w:rsidRDefault="00F84E47">
            <w:pPr>
              <w:rPr>
                <w:rFonts w:ascii="Garamond" w:hAnsi="Garamond"/>
                <w:sz w:val="22"/>
                <w:szCs w:val="22"/>
                <w:lang w:val="en-US"/>
              </w:rPr>
            </w:pPr>
            <w:r>
              <w:rPr>
                <w:rFonts w:ascii="Garamond" w:hAnsi="Garamond"/>
                <w:sz w:val="22"/>
                <w:szCs w:val="22"/>
                <w:lang w:val="en-US"/>
              </w:rPr>
              <w:t>Dana &amp; Jonas</w:t>
            </w:r>
          </w:p>
          <w:p w14:paraId="04615F1A" w14:textId="64DDE115" w:rsidR="0063480D" w:rsidRDefault="0063480D">
            <w:pPr>
              <w:rPr>
                <w:rFonts w:ascii="Garamond" w:hAnsi="Garamond"/>
                <w:sz w:val="22"/>
                <w:szCs w:val="22"/>
                <w:lang w:val="en-US"/>
              </w:rPr>
            </w:pPr>
            <w:r>
              <w:rPr>
                <w:rFonts w:ascii="Garamond" w:hAnsi="Garamond"/>
                <w:sz w:val="22"/>
                <w:szCs w:val="22"/>
                <w:lang w:val="en-US"/>
              </w:rPr>
              <w:t>Malte Meister</w:t>
            </w:r>
          </w:p>
        </w:tc>
        <w:tc>
          <w:tcPr>
            <w:tcW w:w="3822" w:type="dxa"/>
            <w:vMerge/>
          </w:tcPr>
          <w:p w14:paraId="268A1DCC" w14:textId="44F51331" w:rsidR="00F84E47" w:rsidRDefault="00F84E47">
            <w:pPr>
              <w:rPr>
                <w:rFonts w:ascii="Garamond" w:hAnsi="Garamond"/>
                <w:sz w:val="22"/>
                <w:szCs w:val="22"/>
                <w:lang w:val="en-US"/>
              </w:rPr>
            </w:pPr>
          </w:p>
        </w:tc>
      </w:tr>
      <w:tr w:rsidR="007310A5" w14:paraId="701DA726" w14:textId="77777777" w:rsidTr="007310A5">
        <w:tc>
          <w:tcPr>
            <w:tcW w:w="1129" w:type="dxa"/>
          </w:tcPr>
          <w:p w14:paraId="44D60C70" w14:textId="3017CCCA" w:rsidR="007310A5" w:rsidRDefault="007310A5">
            <w:pPr>
              <w:rPr>
                <w:rFonts w:ascii="Garamond" w:hAnsi="Garamond"/>
                <w:sz w:val="22"/>
                <w:szCs w:val="22"/>
                <w:lang w:val="en-US"/>
              </w:rPr>
            </w:pPr>
            <w:r>
              <w:rPr>
                <w:rFonts w:ascii="Garamond" w:hAnsi="Garamond"/>
                <w:sz w:val="22"/>
                <w:szCs w:val="22"/>
                <w:lang w:val="en-US"/>
              </w:rPr>
              <w:t>1</w:t>
            </w:r>
            <w:r w:rsidR="0063480D">
              <w:rPr>
                <w:rFonts w:ascii="Garamond" w:hAnsi="Garamond"/>
                <w:sz w:val="22"/>
                <w:szCs w:val="22"/>
                <w:lang w:val="en-US"/>
              </w:rPr>
              <w:t>1</w:t>
            </w:r>
            <w:r>
              <w:rPr>
                <w:rFonts w:ascii="Garamond" w:hAnsi="Garamond"/>
                <w:sz w:val="22"/>
                <w:szCs w:val="22"/>
                <w:lang w:val="en-US"/>
              </w:rPr>
              <w:t>:</w:t>
            </w:r>
            <w:r w:rsidR="0063480D">
              <w:rPr>
                <w:rFonts w:ascii="Garamond" w:hAnsi="Garamond"/>
                <w:sz w:val="22"/>
                <w:szCs w:val="22"/>
                <w:lang w:val="en-US"/>
              </w:rPr>
              <w:t>0</w:t>
            </w:r>
            <w:r>
              <w:rPr>
                <w:rFonts w:ascii="Garamond" w:hAnsi="Garamond"/>
                <w:sz w:val="22"/>
                <w:szCs w:val="22"/>
                <w:lang w:val="en-US"/>
              </w:rPr>
              <w:t>0</w:t>
            </w:r>
          </w:p>
        </w:tc>
        <w:tc>
          <w:tcPr>
            <w:tcW w:w="4111" w:type="dxa"/>
          </w:tcPr>
          <w:p w14:paraId="62A7FC47" w14:textId="330C088E" w:rsidR="007310A5" w:rsidRDefault="007310A5">
            <w:pPr>
              <w:rPr>
                <w:rFonts w:ascii="Garamond" w:hAnsi="Garamond"/>
                <w:sz w:val="22"/>
                <w:szCs w:val="22"/>
                <w:lang w:val="en-US"/>
              </w:rPr>
            </w:pPr>
            <w:r>
              <w:rPr>
                <w:rFonts w:ascii="Garamond" w:hAnsi="Garamond"/>
                <w:sz w:val="22"/>
                <w:szCs w:val="22"/>
                <w:lang w:val="en-US"/>
              </w:rPr>
              <w:t>Coffee Break</w:t>
            </w:r>
          </w:p>
        </w:tc>
        <w:tc>
          <w:tcPr>
            <w:tcW w:w="3822" w:type="dxa"/>
          </w:tcPr>
          <w:p w14:paraId="61861698" w14:textId="59B796D0" w:rsidR="007310A5" w:rsidRDefault="007310A5">
            <w:pPr>
              <w:rPr>
                <w:rFonts w:ascii="Garamond" w:hAnsi="Garamond"/>
                <w:sz w:val="22"/>
                <w:szCs w:val="22"/>
                <w:lang w:val="en-US"/>
              </w:rPr>
            </w:pPr>
            <w:r>
              <w:rPr>
                <w:rFonts w:ascii="Garamond" w:hAnsi="Garamond"/>
                <w:sz w:val="22"/>
                <w:szCs w:val="22"/>
                <w:lang w:val="en-US"/>
              </w:rPr>
              <w:t>Coffee Break</w:t>
            </w:r>
          </w:p>
        </w:tc>
      </w:tr>
      <w:tr w:rsidR="00F84E47" w14:paraId="30BD0ECC" w14:textId="77777777" w:rsidTr="007310A5">
        <w:tc>
          <w:tcPr>
            <w:tcW w:w="1129" w:type="dxa"/>
          </w:tcPr>
          <w:p w14:paraId="3CA24628" w14:textId="64A5796B" w:rsidR="00F84E47" w:rsidRDefault="00F84E47">
            <w:pPr>
              <w:rPr>
                <w:rFonts w:ascii="Garamond" w:hAnsi="Garamond"/>
                <w:sz w:val="22"/>
                <w:szCs w:val="22"/>
                <w:lang w:val="en-US"/>
              </w:rPr>
            </w:pPr>
            <w:r>
              <w:rPr>
                <w:rFonts w:ascii="Garamond" w:hAnsi="Garamond"/>
                <w:sz w:val="22"/>
                <w:szCs w:val="22"/>
                <w:lang w:val="en-US"/>
              </w:rPr>
              <w:t>11:</w:t>
            </w:r>
            <w:r w:rsidR="0063480D">
              <w:rPr>
                <w:rFonts w:ascii="Garamond" w:hAnsi="Garamond"/>
                <w:sz w:val="22"/>
                <w:szCs w:val="22"/>
                <w:lang w:val="en-US"/>
              </w:rPr>
              <w:t>3</w:t>
            </w:r>
            <w:r>
              <w:rPr>
                <w:rFonts w:ascii="Garamond" w:hAnsi="Garamond"/>
                <w:sz w:val="22"/>
                <w:szCs w:val="22"/>
                <w:lang w:val="en-US"/>
              </w:rPr>
              <w:t>0</w:t>
            </w:r>
          </w:p>
        </w:tc>
        <w:tc>
          <w:tcPr>
            <w:tcW w:w="4111" w:type="dxa"/>
          </w:tcPr>
          <w:p w14:paraId="29843AFD" w14:textId="2498E700" w:rsidR="00F84E47" w:rsidRDefault="00F84E47">
            <w:pPr>
              <w:rPr>
                <w:rFonts w:ascii="Garamond" w:hAnsi="Garamond"/>
                <w:sz w:val="22"/>
                <w:szCs w:val="22"/>
                <w:lang w:val="en-US"/>
              </w:rPr>
            </w:pPr>
            <w:r>
              <w:rPr>
                <w:rFonts w:ascii="Garamond" w:hAnsi="Garamond"/>
                <w:sz w:val="22"/>
                <w:szCs w:val="22"/>
                <w:lang w:val="en-US"/>
              </w:rPr>
              <w:t>Text Recognition Pipelines</w:t>
            </w:r>
          </w:p>
          <w:p w14:paraId="3FDB07CE" w14:textId="74778DB4" w:rsidR="00F84E47" w:rsidRDefault="00F84E47">
            <w:pPr>
              <w:rPr>
                <w:rFonts w:ascii="Garamond" w:hAnsi="Garamond"/>
                <w:sz w:val="22"/>
                <w:szCs w:val="22"/>
                <w:lang w:val="en-US"/>
              </w:rPr>
            </w:pPr>
            <w:r>
              <w:rPr>
                <w:rFonts w:ascii="Garamond" w:hAnsi="Garamond"/>
                <w:sz w:val="22"/>
                <w:szCs w:val="22"/>
                <w:lang w:val="en-US"/>
              </w:rPr>
              <w:t>Michael Schonhardt</w:t>
            </w:r>
          </w:p>
          <w:p w14:paraId="386A2ED8" w14:textId="16514CA9" w:rsidR="00F84E47" w:rsidRDefault="00F84E47">
            <w:pPr>
              <w:rPr>
                <w:rFonts w:ascii="Garamond" w:hAnsi="Garamond"/>
                <w:sz w:val="22"/>
                <w:szCs w:val="22"/>
                <w:lang w:val="en-US"/>
              </w:rPr>
            </w:pPr>
            <w:r>
              <w:rPr>
                <w:rFonts w:ascii="Garamond" w:hAnsi="Garamond"/>
                <w:sz w:val="22"/>
                <w:szCs w:val="22"/>
                <w:lang w:val="en-US"/>
              </w:rPr>
              <w:t>Melvin &amp; Christopher</w:t>
            </w:r>
          </w:p>
        </w:tc>
        <w:tc>
          <w:tcPr>
            <w:tcW w:w="3822" w:type="dxa"/>
            <w:vMerge w:val="restart"/>
          </w:tcPr>
          <w:p w14:paraId="1C44D82E" w14:textId="77777777" w:rsidR="00F84E47" w:rsidRPr="0041503E" w:rsidRDefault="00F84E47">
            <w:pPr>
              <w:rPr>
                <w:rFonts w:ascii="Garamond" w:hAnsi="Garamond"/>
                <w:sz w:val="22"/>
                <w:szCs w:val="22"/>
              </w:rPr>
            </w:pPr>
            <w:r w:rsidRPr="0041503E">
              <w:rPr>
                <w:rFonts w:ascii="Garamond" w:hAnsi="Garamond"/>
                <w:sz w:val="22"/>
                <w:szCs w:val="22"/>
              </w:rPr>
              <w:t xml:space="preserve">LLM &amp; Final </w:t>
            </w:r>
            <w:proofErr w:type="spellStart"/>
            <w:r w:rsidRPr="0041503E">
              <w:rPr>
                <w:rFonts w:ascii="Garamond" w:hAnsi="Garamond"/>
                <w:sz w:val="22"/>
                <w:szCs w:val="22"/>
              </w:rPr>
              <w:t>Discussion</w:t>
            </w:r>
            <w:proofErr w:type="spellEnd"/>
          </w:p>
          <w:p w14:paraId="5C93E4CA" w14:textId="5E0BDCFC" w:rsidR="0063480D" w:rsidRPr="0041503E" w:rsidRDefault="0063480D">
            <w:pPr>
              <w:rPr>
                <w:rFonts w:ascii="Garamond" w:hAnsi="Garamond"/>
                <w:sz w:val="22"/>
                <w:szCs w:val="22"/>
              </w:rPr>
            </w:pPr>
            <w:r w:rsidRPr="0041503E">
              <w:rPr>
                <w:rFonts w:ascii="Garamond" w:hAnsi="Garamond"/>
                <w:sz w:val="22"/>
                <w:szCs w:val="22"/>
              </w:rPr>
              <w:t xml:space="preserve">Sarah </w:t>
            </w:r>
            <w:proofErr w:type="spellStart"/>
            <w:r w:rsidRPr="0041503E">
              <w:rPr>
                <w:rFonts w:ascii="Garamond" w:hAnsi="Garamond"/>
                <w:sz w:val="22"/>
                <w:szCs w:val="22"/>
              </w:rPr>
              <w:t>Oberbirchler</w:t>
            </w:r>
            <w:proofErr w:type="spellEnd"/>
          </w:p>
        </w:tc>
      </w:tr>
      <w:tr w:rsidR="00F84E47" w14:paraId="53486706" w14:textId="77777777" w:rsidTr="007310A5">
        <w:tc>
          <w:tcPr>
            <w:tcW w:w="1129" w:type="dxa"/>
          </w:tcPr>
          <w:p w14:paraId="5FED73C9" w14:textId="36D19A15" w:rsidR="00F84E47" w:rsidRDefault="00F84E47">
            <w:pPr>
              <w:rPr>
                <w:rFonts w:ascii="Garamond" w:hAnsi="Garamond"/>
                <w:sz w:val="22"/>
                <w:szCs w:val="22"/>
                <w:lang w:val="en-US"/>
              </w:rPr>
            </w:pPr>
            <w:r>
              <w:rPr>
                <w:rFonts w:ascii="Garamond" w:hAnsi="Garamond"/>
                <w:sz w:val="22"/>
                <w:szCs w:val="22"/>
                <w:lang w:val="en-US"/>
              </w:rPr>
              <w:t>1</w:t>
            </w:r>
            <w:r w:rsidR="0063480D">
              <w:rPr>
                <w:rFonts w:ascii="Garamond" w:hAnsi="Garamond"/>
                <w:sz w:val="22"/>
                <w:szCs w:val="22"/>
                <w:lang w:val="en-US"/>
              </w:rPr>
              <w:t>3</w:t>
            </w:r>
            <w:r>
              <w:rPr>
                <w:rFonts w:ascii="Garamond" w:hAnsi="Garamond"/>
                <w:sz w:val="22"/>
                <w:szCs w:val="22"/>
                <w:lang w:val="en-US"/>
              </w:rPr>
              <w:t>:</w:t>
            </w:r>
            <w:r w:rsidR="0063480D">
              <w:rPr>
                <w:rFonts w:ascii="Garamond" w:hAnsi="Garamond"/>
                <w:sz w:val="22"/>
                <w:szCs w:val="22"/>
                <w:lang w:val="en-US"/>
              </w:rPr>
              <w:t>0</w:t>
            </w:r>
            <w:r>
              <w:rPr>
                <w:rFonts w:ascii="Garamond" w:hAnsi="Garamond"/>
                <w:sz w:val="22"/>
                <w:szCs w:val="22"/>
                <w:lang w:val="en-US"/>
              </w:rPr>
              <w:t>0</w:t>
            </w:r>
          </w:p>
        </w:tc>
        <w:tc>
          <w:tcPr>
            <w:tcW w:w="4111" w:type="dxa"/>
          </w:tcPr>
          <w:p w14:paraId="337FD165" w14:textId="27DC95CE" w:rsidR="00F84E47" w:rsidRDefault="00F84E47">
            <w:pPr>
              <w:rPr>
                <w:rFonts w:ascii="Garamond" w:hAnsi="Garamond"/>
                <w:sz w:val="22"/>
                <w:szCs w:val="22"/>
                <w:lang w:val="en-US"/>
              </w:rPr>
            </w:pPr>
            <w:r>
              <w:rPr>
                <w:rFonts w:ascii="Garamond" w:hAnsi="Garamond"/>
                <w:sz w:val="22"/>
                <w:szCs w:val="22"/>
                <w:lang w:val="en-US"/>
              </w:rPr>
              <w:t>Lunch Break</w:t>
            </w:r>
          </w:p>
        </w:tc>
        <w:tc>
          <w:tcPr>
            <w:tcW w:w="3822" w:type="dxa"/>
            <w:vMerge/>
          </w:tcPr>
          <w:p w14:paraId="4990CE55" w14:textId="77777777" w:rsidR="00F84E47" w:rsidRDefault="00F84E47">
            <w:pPr>
              <w:rPr>
                <w:rFonts w:ascii="Garamond" w:hAnsi="Garamond"/>
                <w:sz w:val="22"/>
                <w:szCs w:val="22"/>
                <w:lang w:val="en-US"/>
              </w:rPr>
            </w:pPr>
          </w:p>
        </w:tc>
      </w:tr>
      <w:tr w:rsidR="007310A5" w14:paraId="7D7328DF" w14:textId="77777777" w:rsidTr="007310A5">
        <w:tc>
          <w:tcPr>
            <w:tcW w:w="1129" w:type="dxa"/>
          </w:tcPr>
          <w:p w14:paraId="1BA52A59" w14:textId="5F378685" w:rsidR="007310A5" w:rsidRDefault="007310A5">
            <w:pPr>
              <w:rPr>
                <w:rFonts w:ascii="Garamond" w:hAnsi="Garamond"/>
                <w:sz w:val="22"/>
                <w:szCs w:val="22"/>
                <w:lang w:val="en-US"/>
              </w:rPr>
            </w:pPr>
            <w:r>
              <w:rPr>
                <w:rFonts w:ascii="Garamond" w:hAnsi="Garamond"/>
                <w:sz w:val="22"/>
                <w:szCs w:val="22"/>
                <w:lang w:val="en-US"/>
              </w:rPr>
              <w:t>14:00</w:t>
            </w:r>
          </w:p>
        </w:tc>
        <w:tc>
          <w:tcPr>
            <w:tcW w:w="4111" w:type="dxa"/>
          </w:tcPr>
          <w:p w14:paraId="55F8C826" w14:textId="77777777" w:rsidR="007310A5" w:rsidRDefault="007310A5">
            <w:pPr>
              <w:rPr>
                <w:rFonts w:ascii="Garamond" w:hAnsi="Garamond"/>
                <w:sz w:val="22"/>
                <w:szCs w:val="22"/>
                <w:lang w:val="en-US"/>
              </w:rPr>
            </w:pPr>
            <w:r>
              <w:rPr>
                <w:rFonts w:ascii="Garamond" w:hAnsi="Garamond"/>
                <w:sz w:val="22"/>
                <w:szCs w:val="22"/>
                <w:lang w:val="en-US"/>
              </w:rPr>
              <w:t>Named Entities</w:t>
            </w:r>
          </w:p>
          <w:p w14:paraId="534A2BA4" w14:textId="77777777" w:rsidR="007310A5" w:rsidRDefault="007310A5">
            <w:pPr>
              <w:rPr>
                <w:rFonts w:ascii="Garamond" w:hAnsi="Garamond"/>
                <w:sz w:val="22"/>
                <w:szCs w:val="22"/>
                <w:lang w:val="en-US"/>
              </w:rPr>
            </w:pPr>
            <w:r>
              <w:rPr>
                <w:rFonts w:ascii="Garamond" w:hAnsi="Garamond"/>
                <w:sz w:val="22"/>
                <w:szCs w:val="22"/>
                <w:lang w:val="en-US"/>
              </w:rPr>
              <w:t>Maud Ehrmann</w:t>
            </w:r>
          </w:p>
          <w:p w14:paraId="41D0816D" w14:textId="77777777" w:rsidR="007310A5" w:rsidRDefault="007310A5">
            <w:pPr>
              <w:rPr>
                <w:rFonts w:ascii="Garamond" w:hAnsi="Garamond"/>
                <w:sz w:val="22"/>
                <w:szCs w:val="22"/>
                <w:lang w:val="en-US"/>
              </w:rPr>
            </w:pPr>
            <w:r>
              <w:rPr>
                <w:rFonts w:ascii="Garamond" w:hAnsi="Garamond"/>
                <w:sz w:val="22"/>
                <w:szCs w:val="22"/>
                <w:lang w:val="en-US"/>
              </w:rPr>
              <w:t>Dominic</w:t>
            </w:r>
          </w:p>
          <w:p w14:paraId="2A5651A7" w14:textId="45CA2AC5" w:rsidR="007310A5" w:rsidRDefault="007310A5">
            <w:pPr>
              <w:rPr>
                <w:rFonts w:ascii="Garamond" w:hAnsi="Garamond"/>
                <w:sz w:val="22"/>
                <w:szCs w:val="22"/>
                <w:lang w:val="en-US"/>
              </w:rPr>
            </w:pPr>
            <w:r>
              <w:rPr>
                <w:rFonts w:ascii="Garamond" w:hAnsi="Garamond"/>
                <w:sz w:val="22"/>
                <w:szCs w:val="22"/>
                <w:lang w:val="en-US"/>
              </w:rPr>
              <w:t>Dana &amp; Silke</w:t>
            </w:r>
          </w:p>
        </w:tc>
        <w:tc>
          <w:tcPr>
            <w:tcW w:w="3822" w:type="dxa"/>
          </w:tcPr>
          <w:p w14:paraId="4C874BC8" w14:textId="4CD72384" w:rsidR="007310A5" w:rsidRDefault="00F84E47">
            <w:pPr>
              <w:rPr>
                <w:rFonts w:ascii="Garamond" w:hAnsi="Garamond"/>
                <w:sz w:val="22"/>
                <w:szCs w:val="22"/>
                <w:lang w:val="en-US"/>
              </w:rPr>
            </w:pPr>
            <w:r>
              <w:rPr>
                <w:rFonts w:ascii="Garamond" w:hAnsi="Garamond"/>
                <w:sz w:val="22"/>
                <w:szCs w:val="22"/>
                <w:lang w:val="en-US"/>
              </w:rPr>
              <w:t xml:space="preserve">End of </w:t>
            </w:r>
            <w:r w:rsidR="004F0176">
              <w:rPr>
                <w:rFonts w:ascii="Garamond" w:hAnsi="Garamond"/>
                <w:sz w:val="22"/>
                <w:szCs w:val="22"/>
                <w:lang w:val="en-US"/>
              </w:rPr>
              <w:t>Conference</w:t>
            </w:r>
          </w:p>
        </w:tc>
      </w:tr>
      <w:tr w:rsidR="007310A5" w14:paraId="132D60CF" w14:textId="77777777" w:rsidTr="007310A5">
        <w:tc>
          <w:tcPr>
            <w:tcW w:w="1129" w:type="dxa"/>
          </w:tcPr>
          <w:p w14:paraId="597B141B" w14:textId="32E4A94E" w:rsidR="007310A5" w:rsidRDefault="00F84E47">
            <w:pPr>
              <w:rPr>
                <w:rFonts w:ascii="Garamond" w:hAnsi="Garamond"/>
                <w:sz w:val="22"/>
                <w:szCs w:val="22"/>
                <w:lang w:val="en-US"/>
              </w:rPr>
            </w:pPr>
            <w:r>
              <w:rPr>
                <w:rFonts w:ascii="Garamond" w:hAnsi="Garamond"/>
                <w:sz w:val="22"/>
                <w:szCs w:val="22"/>
                <w:lang w:val="en-US"/>
              </w:rPr>
              <w:t>16:00</w:t>
            </w:r>
          </w:p>
        </w:tc>
        <w:tc>
          <w:tcPr>
            <w:tcW w:w="4111" w:type="dxa"/>
          </w:tcPr>
          <w:p w14:paraId="61BF3017" w14:textId="56FA0B3C" w:rsidR="007310A5" w:rsidRDefault="00F84E47">
            <w:pPr>
              <w:rPr>
                <w:rFonts w:ascii="Garamond" w:hAnsi="Garamond"/>
                <w:sz w:val="22"/>
                <w:szCs w:val="22"/>
                <w:lang w:val="en-US"/>
              </w:rPr>
            </w:pPr>
            <w:r>
              <w:rPr>
                <w:rFonts w:ascii="Garamond" w:hAnsi="Garamond"/>
                <w:sz w:val="22"/>
                <w:szCs w:val="22"/>
                <w:lang w:val="en-US"/>
              </w:rPr>
              <w:t>Break</w:t>
            </w:r>
          </w:p>
        </w:tc>
        <w:tc>
          <w:tcPr>
            <w:tcW w:w="3822" w:type="dxa"/>
          </w:tcPr>
          <w:p w14:paraId="7EA4CBDA" w14:textId="77777777" w:rsidR="007310A5" w:rsidRDefault="007310A5">
            <w:pPr>
              <w:rPr>
                <w:rFonts w:ascii="Garamond" w:hAnsi="Garamond"/>
                <w:sz w:val="22"/>
                <w:szCs w:val="22"/>
                <w:lang w:val="en-US"/>
              </w:rPr>
            </w:pPr>
          </w:p>
        </w:tc>
      </w:tr>
      <w:tr w:rsidR="007310A5" w14:paraId="6CBDABC5" w14:textId="77777777" w:rsidTr="007310A5">
        <w:tc>
          <w:tcPr>
            <w:tcW w:w="1129" w:type="dxa"/>
          </w:tcPr>
          <w:p w14:paraId="50D7D6F1" w14:textId="00F49C69" w:rsidR="007310A5" w:rsidRDefault="00F84E47">
            <w:pPr>
              <w:rPr>
                <w:rFonts w:ascii="Garamond" w:hAnsi="Garamond"/>
                <w:sz w:val="22"/>
                <w:szCs w:val="22"/>
                <w:lang w:val="en-US"/>
              </w:rPr>
            </w:pPr>
            <w:r>
              <w:rPr>
                <w:rFonts w:ascii="Garamond" w:hAnsi="Garamond"/>
                <w:sz w:val="22"/>
                <w:szCs w:val="22"/>
                <w:lang w:val="en-US"/>
              </w:rPr>
              <w:t>17:00</w:t>
            </w:r>
          </w:p>
        </w:tc>
        <w:tc>
          <w:tcPr>
            <w:tcW w:w="4111" w:type="dxa"/>
          </w:tcPr>
          <w:p w14:paraId="035DC0C8" w14:textId="3242D2FD" w:rsidR="00F84E47" w:rsidRDefault="00F84E47">
            <w:pPr>
              <w:rPr>
                <w:rFonts w:ascii="Garamond" w:hAnsi="Garamond"/>
                <w:sz w:val="22"/>
                <w:szCs w:val="22"/>
                <w:lang w:val="en-US"/>
              </w:rPr>
            </w:pPr>
            <w:r>
              <w:rPr>
                <w:rFonts w:ascii="Garamond" w:hAnsi="Garamond"/>
                <w:sz w:val="22"/>
                <w:szCs w:val="22"/>
                <w:lang w:val="en-US"/>
              </w:rPr>
              <w:t>Barbara McGillivray</w:t>
            </w:r>
          </w:p>
        </w:tc>
        <w:tc>
          <w:tcPr>
            <w:tcW w:w="3822" w:type="dxa"/>
          </w:tcPr>
          <w:p w14:paraId="3EB97B58" w14:textId="77777777" w:rsidR="007310A5" w:rsidRDefault="007310A5">
            <w:pPr>
              <w:rPr>
                <w:rFonts w:ascii="Garamond" w:hAnsi="Garamond"/>
                <w:sz w:val="22"/>
                <w:szCs w:val="22"/>
                <w:lang w:val="en-US"/>
              </w:rPr>
            </w:pPr>
          </w:p>
        </w:tc>
      </w:tr>
    </w:tbl>
    <w:p w14:paraId="5E604E69" w14:textId="77777777" w:rsidR="007310A5" w:rsidRPr="00BD0B01" w:rsidRDefault="007310A5">
      <w:pPr>
        <w:rPr>
          <w:rFonts w:ascii="Garamond" w:hAnsi="Garamond"/>
          <w:sz w:val="22"/>
          <w:szCs w:val="22"/>
          <w:lang w:val="en-US"/>
        </w:rPr>
      </w:pPr>
    </w:p>
    <w:sectPr w:rsidR="007310A5" w:rsidRPr="00BD0B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8718F"/>
    <w:multiLevelType w:val="multilevel"/>
    <w:tmpl w:val="B522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57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01"/>
    <w:rsid w:val="000C3581"/>
    <w:rsid w:val="001412B9"/>
    <w:rsid w:val="0041503E"/>
    <w:rsid w:val="004F0176"/>
    <w:rsid w:val="0054606F"/>
    <w:rsid w:val="005B1E3F"/>
    <w:rsid w:val="00634414"/>
    <w:rsid w:val="0063480D"/>
    <w:rsid w:val="007310A5"/>
    <w:rsid w:val="00757860"/>
    <w:rsid w:val="007704F9"/>
    <w:rsid w:val="007A4FC0"/>
    <w:rsid w:val="0082262F"/>
    <w:rsid w:val="009603B5"/>
    <w:rsid w:val="009830AE"/>
    <w:rsid w:val="00BD0B01"/>
    <w:rsid w:val="00C718C0"/>
    <w:rsid w:val="00F84E4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4:docId w14:val="535BAB28"/>
  <w15:chartTrackingRefBased/>
  <w15:docId w15:val="{CFA608A8-D1E6-B04B-8DDC-1054173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0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0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0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0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0B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B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B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B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0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0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0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B01"/>
    <w:rPr>
      <w:rFonts w:eastAsiaTheme="majorEastAsia" w:cstheme="majorBidi"/>
      <w:color w:val="272727" w:themeColor="text1" w:themeTint="D8"/>
    </w:rPr>
  </w:style>
  <w:style w:type="paragraph" w:styleId="Title">
    <w:name w:val="Title"/>
    <w:basedOn w:val="Normal"/>
    <w:next w:val="Normal"/>
    <w:link w:val="TitleChar"/>
    <w:uiPriority w:val="10"/>
    <w:qFormat/>
    <w:rsid w:val="00BD0B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B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B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0B01"/>
    <w:rPr>
      <w:i/>
      <w:iCs/>
      <w:color w:val="404040" w:themeColor="text1" w:themeTint="BF"/>
    </w:rPr>
  </w:style>
  <w:style w:type="paragraph" w:styleId="ListParagraph">
    <w:name w:val="List Paragraph"/>
    <w:basedOn w:val="Normal"/>
    <w:uiPriority w:val="34"/>
    <w:qFormat/>
    <w:rsid w:val="00BD0B01"/>
    <w:pPr>
      <w:ind w:left="720"/>
      <w:contextualSpacing/>
    </w:pPr>
  </w:style>
  <w:style w:type="character" w:styleId="IntenseEmphasis">
    <w:name w:val="Intense Emphasis"/>
    <w:basedOn w:val="DefaultParagraphFont"/>
    <w:uiPriority w:val="21"/>
    <w:qFormat/>
    <w:rsid w:val="00BD0B01"/>
    <w:rPr>
      <w:i/>
      <w:iCs/>
      <w:color w:val="2F5496" w:themeColor="accent1" w:themeShade="BF"/>
    </w:rPr>
  </w:style>
  <w:style w:type="paragraph" w:styleId="IntenseQuote">
    <w:name w:val="Intense Quote"/>
    <w:basedOn w:val="Normal"/>
    <w:next w:val="Normal"/>
    <w:link w:val="IntenseQuoteChar"/>
    <w:uiPriority w:val="30"/>
    <w:qFormat/>
    <w:rsid w:val="00BD0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0B01"/>
    <w:rPr>
      <w:i/>
      <w:iCs/>
      <w:color w:val="2F5496" w:themeColor="accent1" w:themeShade="BF"/>
    </w:rPr>
  </w:style>
  <w:style w:type="character" w:styleId="IntenseReference">
    <w:name w:val="Intense Reference"/>
    <w:basedOn w:val="DefaultParagraphFont"/>
    <w:uiPriority w:val="32"/>
    <w:qFormat/>
    <w:rsid w:val="00BD0B01"/>
    <w:rPr>
      <w:b/>
      <w:bCs/>
      <w:smallCaps/>
      <w:color w:val="2F5496" w:themeColor="accent1" w:themeShade="BF"/>
      <w:spacing w:val="5"/>
    </w:rPr>
  </w:style>
  <w:style w:type="table" w:styleId="TableGrid">
    <w:name w:val="Table Grid"/>
    <w:basedOn w:val="TableNormal"/>
    <w:uiPriority w:val="39"/>
    <w:rsid w:val="00731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Hodel</dc:creator>
  <cp:keywords/>
  <dc:description/>
  <cp:lastModifiedBy>Tolino, Serena (MOMUG)</cp:lastModifiedBy>
  <cp:revision>3</cp:revision>
  <cp:lastPrinted>2025-12-12T16:18:00Z</cp:lastPrinted>
  <dcterms:created xsi:type="dcterms:W3CDTF">2026-02-06T20:21:00Z</dcterms:created>
  <dcterms:modified xsi:type="dcterms:W3CDTF">2026-02-06T20:22:00Z</dcterms:modified>
</cp:coreProperties>
</file>